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F783" w14:textId="5AC86FCD" w:rsidR="003D35C9" w:rsidRPr="00C532ED" w:rsidRDefault="0095711E" w:rsidP="009B55B2">
      <w:pPr>
        <w:pStyle w:val="Heading1"/>
      </w:pPr>
      <w:r>
        <w:t>Stafmedewerker</w:t>
      </w:r>
      <w:r w:rsidR="00E353E9">
        <w:t xml:space="preserve"> algemeen directeur</w:t>
      </w:r>
    </w:p>
    <w:p w14:paraId="54512E4B" w14:textId="1C8C0827" w:rsidR="00F4752C" w:rsidRPr="00456607" w:rsidRDefault="00F4752C" w:rsidP="00F4752C">
      <w:pPr>
        <w:spacing w:before="0" w:after="0"/>
      </w:pPr>
      <w:r w:rsidRPr="00F4752C">
        <w:rPr>
          <w:b/>
          <w:bCs/>
        </w:rPr>
        <w:t>Afdeling</w:t>
      </w:r>
      <w:r w:rsidRPr="00456607">
        <w:tab/>
      </w:r>
      <w:r w:rsidRPr="00456607">
        <w:tab/>
      </w:r>
      <w:r w:rsidR="00E67B84">
        <w:t>Organisatie en communicatie</w:t>
      </w:r>
      <w:r w:rsidRPr="00456607">
        <w:t xml:space="preserve"> </w:t>
      </w:r>
    </w:p>
    <w:p w14:paraId="4969CBF6" w14:textId="6125BFBE" w:rsidR="00F4752C" w:rsidRPr="00456607" w:rsidRDefault="00F4752C" w:rsidP="00F4752C">
      <w:pPr>
        <w:spacing w:before="0" w:after="0"/>
      </w:pPr>
      <w:r w:rsidRPr="00F4752C">
        <w:rPr>
          <w:b/>
          <w:bCs/>
        </w:rPr>
        <w:t>Leidinggevende</w:t>
      </w:r>
      <w:r>
        <w:tab/>
      </w:r>
      <w:r w:rsidR="005B0E28">
        <w:t>Algemeen directeur</w:t>
      </w:r>
    </w:p>
    <w:p w14:paraId="11999CCA" w14:textId="32CBC1EC" w:rsidR="00F4752C" w:rsidRPr="00456607" w:rsidRDefault="00F4752C" w:rsidP="00F4752C">
      <w:pPr>
        <w:spacing w:before="0" w:after="0"/>
      </w:pPr>
      <w:r w:rsidRPr="00F4752C">
        <w:rPr>
          <w:b/>
          <w:bCs/>
        </w:rPr>
        <w:t>Type functie</w:t>
      </w:r>
      <w:r w:rsidRPr="00456607">
        <w:tab/>
      </w:r>
      <w:r w:rsidRPr="00456607">
        <w:tab/>
      </w:r>
      <w:r w:rsidR="0095711E">
        <w:t>Expert</w:t>
      </w:r>
    </w:p>
    <w:p w14:paraId="4D20BA23" w14:textId="709C1057" w:rsidR="00F4752C" w:rsidRPr="00456607" w:rsidRDefault="00F4752C" w:rsidP="00F4752C">
      <w:pPr>
        <w:spacing w:before="0" w:after="360"/>
      </w:pPr>
      <w:r w:rsidRPr="00F4752C">
        <w:rPr>
          <w:b/>
          <w:bCs/>
        </w:rPr>
        <w:t>Weddeschaal</w:t>
      </w:r>
      <w:r w:rsidRPr="00456607">
        <w:tab/>
      </w:r>
      <w:r>
        <w:tab/>
      </w:r>
      <w:r w:rsidR="005B0E28">
        <w:t>Goudenaarde 50</w:t>
      </w:r>
      <w:r w:rsidR="0095711E">
        <w:t>4</w:t>
      </w:r>
    </w:p>
    <w:p w14:paraId="4C740BC3" w14:textId="7FCB4921" w:rsidR="003D35C9" w:rsidRPr="00C532ED" w:rsidRDefault="006569DE" w:rsidP="00C532ED">
      <w:pPr>
        <w:pStyle w:val="Heading2"/>
      </w:pPr>
      <w:r>
        <w:t>Functiebeschrijving</w:t>
      </w:r>
    </w:p>
    <w:p w14:paraId="117B376F" w14:textId="4A3E441A" w:rsidR="00FA3CD2" w:rsidRDefault="00FA3CD2" w:rsidP="00FA3CD2">
      <w:pPr>
        <w:pStyle w:val="Heading3"/>
      </w:pPr>
      <w:r>
        <w:t>Doel van de functie</w:t>
      </w:r>
    </w:p>
    <w:p w14:paraId="520FE415" w14:textId="01F2F317" w:rsidR="288BB3EE" w:rsidRDefault="288BB3EE">
      <w:pPr>
        <w:rPr>
          <w:rFonts w:cstheme="minorHAnsi"/>
        </w:rPr>
      </w:pPr>
      <w:r w:rsidRPr="00CD7B4A">
        <w:rPr>
          <w:rFonts w:eastAsia="Times New Roman" w:cstheme="minorHAnsi"/>
        </w:rPr>
        <w:t>Als stafmedewerker sta je de algemeen directeur bij in een aantal taken ter ondersteuning en optimalisatie van de algemene werking van de diensten.</w:t>
      </w:r>
      <w:r w:rsidR="0095711E" w:rsidRPr="00CD7B4A">
        <w:rPr>
          <w:rFonts w:cstheme="minorHAnsi"/>
        </w:rPr>
        <w:t xml:space="preserve"> </w:t>
      </w:r>
    </w:p>
    <w:p w14:paraId="0B884D03" w14:textId="2B479743" w:rsidR="00CD7B4A" w:rsidRPr="00CD7B4A" w:rsidRDefault="00CD7B4A" w:rsidP="00CD7B4A">
      <w:pPr>
        <w:pStyle w:val="Heading3"/>
      </w:pPr>
      <w:r>
        <w:t>Inhoud van de functie</w:t>
      </w:r>
    </w:p>
    <w:p w14:paraId="6AC452C6" w14:textId="69A676B9" w:rsidR="00E07D79" w:rsidRPr="00E07D79" w:rsidRDefault="00E07D79" w:rsidP="00677C8A">
      <w:pPr>
        <w:spacing w:after="120"/>
        <w:rPr>
          <w:lang w:val="nl-BE"/>
        </w:rPr>
      </w:pPr>
      <w:r w:rsidRPr="00E07D79">
        <w:rPr>
          <w:lang w:val="nl-BE"/>
        </w:rPr>
        <w:t>Hiertoe neem je verschillende taken op:</w:t>
      </w:r>
    </w:p>
    <w:p w14:paraId="08A86BB8" w14:textId="6296BDB5" w:rsidR="00E07D79" w:rsidRPr="00E07D79" w:rsidRDefault="00E07D79" w:rsidP="00E07D79">
      <w:pPr>
        <w:pStyle w:val="ListParagraph"/>
        <w:numPr>
          <w:ilvl w:val="0"/>
          <w:numId w:val="35"/>
        </w:numPr>
        <w:rPr>
          <w:lang w:val="nl-BE"/>
        </w:rPr>
      </w:pPr>
      <w:r w:rsidRPr="00E07D79">
        <w:rPr>
          <w:lang w:val="nl-BE"/>
        </w:rPr>
        <w:t xml:space="preserve">Je bewaakt de </w:t>
      </w:r>
      <w:r w:rsidRPr="00E07D79">
        <w:rPr>
          <w:b/>
          <w:bCs/>
          <w:lang w:val="nl-BE"/>
        </w:rPr>
        <w:t>implementatie van beleidsbeslissingen via het meerjarenplan</w:t>
      </w:r>
      <w:r w:rsidRPr="00E07D79">
        <w:rPr>
          <w:lang w:val="nl-BE"/>
        </w:rPr>
        <w:t>.</w:t>
      </w:r>
    </w:p>
    <w:p w14:paraId="40393A00" w14:textId="21D215B9" w:rsidR="00E07D79" w:rsidRPr="00E07D79" w:rsidRDefault="00E07D79" w:rsidP="00E07D79">
      <w:pPr>
        <w:pStyle w:val="ListParagraph"/>
        <w:numPr>
          <w:ilvl w:val="0"/>
          <w:numId w:val="35"/>
        </w:numPr>
        <w:rPr>
          <w:lang w:val="nl-BE"/>
        </w:rPr>
      </w:pPr>
      <w:r w:rsidRPr="00E07D79">
        <w:rPr>
          <w:lang w:val="nl-BE"/>
        </w:rPr>
        <w:t xml:space="preserve">Je bent de motor achter continue </w:t>
      </w:r>
      <w:r w:rsidRPr="0069740E">
        <w:rPr>
          <w:b/>
          <w:bCs/>
          <w:lang w:val="nl-BE"/>
        </w:rPr>
        <w:t>verbeteringsacties en veranderingsprocessen</w:t>
      </w:r>
      <w:r w:rsidRPr="00E07D79">
        <w:rPr>
          <w:lang w:val="nl-BE"/>
        </w:rPr>
        <w:t>.</w:t>
      </w:r>
    </w:p>
    <w:p w14:paraId="6E72E8C4" w14:textId="4C57587A" w:rsidR="00E07D79" w:rsidRPr="00E07D79" w:rsidRDefault="00E07D79" w:rsidP="00E07D79">
      <w:pPr>
        <w:pStyle w:val="ListParagraph"/>
        <w:numPr>
          <w:ilvl w:val="0"/>
          <w:numId w:val="35"/>
        </w:numPr>
        <w:rPr>
          <w:lang w:val="nl-BE"/>
        </w:rPr>
      </w:pPr>
      <w:r w:rsidRPr="00E07D79">
        <w:rPr>
          <w:lang w:val="nl-BE"/>
        </w:rPr>
        <w:t xml:space="preserve">Je </w:t>
      </w:r>
      <w:r w:rsidRPr="0069740E">
        <w:rPr>
          <w:b/>
          <w:bCs/>
          <w:lang w:val="nl-BE"/>
        </w:rPr>
        <w:t>vertegenwoordigt de algemeen directeur</w:t>
      </w:r>
      <w:r w:rsidRPr="00E07D79">
        <w:rPr>
          <w:lang w:val="nl-BE"/>
        </w:rPr>
        <w:t xml:space="preserve"> in diverse stuur- en werkgroepen.</w:t>
      </w:r>
    </w:p>
    <w:p w14:paraId="49588E14" w14:textId="1C557C13" w:rsidR="00E07D79" w:rsidRPr="00E07D79" w:rsidRDefault="00E07D79" w:rsidP="00E07D79">
      <w:pPr>
        <w:pStyle w:val="ListParagraph"/>
        <w:numPr>
          <w:ilvl w:val="0"/>
          <w:numId w:val="35"/>
        </w:numPr>
        <w:rPr>
          <w:lang w:val="nl-BE"/>
        </w:rPr>
      </w:pPr>
      <w:r w:rsidRPr="00E07D79">
        <w:rPr>
          <w:lang w:val="nl-BE"/>
        </w:rPr>
        <w:t xml:space="preserve">Je </w:t>
      </w:r>
      <w:r w:rsidRPr="0069740E">
        <w:rPr>
          <w:b/>
          <w:bCs/>
          <w:lang w:val="nl-BE"/>
        </w:rPr>
        <w:t>coördineert diverse stuur- en werkgroepen</w:t>
      </w:r>
      <w:r w:rsidR="0069740E">
        <w:rPr>
          <w:lang w:val="nl-BE"/>
        </w:rPr>
        <w:t>.</w:t>
      </w:r>
    </w:p>
    <w:p w14:paraId="654F7E3D" w14:textId="168599BB" w:rsidR="00E07D79" w:rsidRPr="00E07D79" w:rsidRDefault="00E07D79" w:rsidP="00E07D79">
      <w:pPr>
        <w:pStyle w:val="ListParagraph"/>
        <w:numPr>
          <w:ilvl w:val="0"/>
          <w:numId w:val="35"/>
        </w:numPr>
        <w:rPr>
          <w:lang w:val="nl-BE"/>
        </w:rPr>
      </w:pPr>
      <w:r w:rsidRPr="00E07D79">
        <w:rPr>
          <w:lang w:val="nl-BE"/>
        </w:rPr>
        <w:t xml:space="preserve">Je kan </w:t>
      </w:r>
      <w:r w:rsidRPr="0069740E">
        <w:rPr>
          <w:b/>
          <w:bCs/>
          <w:lang w:val="nl-BE"/>
        </w:rPr>
        <w:t>ad interim</w:t>
      </w:r>
      <w:r w:rsidRPr="00E07D79">
        <w:rPr>
          <w:lang w:val="nl-BE"/>
        </w:rPr>
        <w:t xml:space="preserve"> inspringen voor de </w:t>
      </w:r>
      <w:r w:rsidRPr="0069740E">
        <w:rPr>
          <w:b/>
          <w:bCs/>
          <w:lang w:val="nl-BE"/>
        </w:rPr>
        <w:t>aansturing</w:t>
      </w:r>
      <w:r w:rsidRPr="00E07D79">
        <w:rPr>
          <w:lang w:val="nl-BE"/>
        </w:rPr>
        <w:t xml:space="preserve"> van de diverse teams en diensten</w:t>
      </w:r>
      <w:r w:rsidR="0069740E">
        <w:rPr>
          <w:lang w:val="nl-BE"/>
        </w:rPr>
        <w:t>.</w:t>
      </w:r>
    </w:p>
    <w:p w14:paraId="35AAD65C" w14:textId="6EB4C5C3" w:rsidR="00E07D79" w:rsidRPr="00E07D79" w:rsidRDefault="00E07D79" w:rsidP="00E07D79">
      <w:pPr>
        <w:pStyle w:val="ListParagraph"/>
        <w:numPr>
          <w:ilvl w:val="0"/>
          <w:numId w:val="35"/>
        </w:numPr>
        <w:rPr>
          <w:lang w:val="nl-BE"/>
        </w:rPr>
      </w:pPr>
      <w:r w:rsidRPr="00E07D79">
        <w:rPr>
          <w:lang w:val="nl-BE"/>
        </w:rPr>
        <w:t xml:space="preserve">Je volgt de </w:t>
      </w:r>
      <w:r w:rsidRPr="0069740E">
        <w:rPr>
          <w:b/>
          <w:bCs/>
          <w:lang w:val="nl-BE"/>
        </w:rPr>
        <w:t>samenwerkingen</w:t>
      </w:r>
      <w:r w:rsidRPr="00E07D79">
        <w:rPr>
          <w:lang w:val="nl-BE"/>
        </w:rPr>
        <w:t xml:space="preserve"> binnen de referentieregio mee op en hebt oog voor opportuniteit en een stedelijke uitdaging.</w:t>
      </w:r>
    </w:p>
    <w:p w14:paraId="75EE45FC" w14:textId="17667A56" w:rsidR="00E07D79" w:rsidRPr="00E07D79" w:rsidRDefault="00E07D79" w:rsidP="00E07D79">
      <w:pPr>
        <w:pStyle w:val="ListParagraph"/>
        <w:numPr>
          <w:ilvl w:val="0"/>
          <w:numId w:val="35"/>
        </w:numPr>
        <w:rPr>
          <w:lang w:val="nl-BE"/>
        </w:rPr>
      </w:pPr>
      <w:r w:rsidRPr="00E07D79">
        <w:rPr>
          <w:lang w:val="nl-BE"/>
        </w:rPr>
        <w:t xml:space="preserve">Je onderzoekt opportuniteiten binnen </w:t>
      </w:r>
      <w:r w:rsidRPr="0069740E">
        <w:rPr>
          <w:b/>
          <w:bCs/>
          <w:lang w:val="nl-BE"/>
        </w:rPr>
        <w:t>subsidieprogramma’s</w:t>
      </w:r>
      <w:r w:rsidRPr="00E07D79">
        <w:rPr>
          <w:lang w:val="nl-BE"/>
        </w:rPr>
        <w:t xml:space="preserve"> van de Vlaamse, federale en Europese overheden.</w:t>
      </w:r>
    </w:p>
    <w:p w14:paraId="463A3136" w14:textId="35970B43" w:rsidR="0095711E" w:rsidRPr="00677C8A" w:rsidRDefault="00E07D79" w:rsidP="00CD7B4A">
      <w:pPr>
        <w:pStyle w:val="ListParagraph"/>
        <w:numPr>
          <w:ilvl w:val="0"/>
          <w:numId w:val="35"/>
        </w:numPr>
        <w:rPr>
          <w:lang w:val="nl-BE"/>
        </w:rPr>
      </w:pPr>
      <w:r w:rsidRPr="00E07D79">
        <w:rPr>
          <w:lang w:val="nl-BE"/>
        </w:rPr>
        <w:t xml:space="preserve">Je werkt nauw samen met het secretariaat en staat onder andere mee in voor een </w:t>
      </w:r>
      <w:r w:rsidRPr="0069740E">
        <w:rPr>
          <w:b/>
          <w:bCs/>
          <w:lang w:val="nl-BE"/>
        </w:rPr>
        <w:t>correcte verwerking van de besluitvorming</w:t>
      </w:r>
      <w:r w:rsidRPr="00E07D79">
        <w:rPr>
          <w:lang w:val="nl-BE"/>
        </w:rPr>
        <w:t>.</w:t>
      </w:r>
    </w:p>
    <w:p w14:paraId="5DB51DC8" w14:textId="0851E49A" w:rsidR="00FA3CD2" w:rsidRDefault="00FA3CD2" w:rsidP="00FA3CD2">
      <w:pPr>
        <w:pStyle w:val="Heading3"/>
      </w:pPr>
      <w:r w:rsidRPr="00FA3CD2">
        <w:t>Competenties</w:t>
      </w:r>
    </w:p>
    <w:tbl>
      <w:tblPr>
        <w:tblStyle w:val="TableGrid"/>
        <w:tblW w:w="0" w:type="auto"/>
        <w:tblLook w:val="04A0" w:firstRow="1" w:lastRow="0" w:firstColumn="1" w:lastColumn="0" w:noHBand="0" w:noVBand="1"/>
      </w:tblPr>
      <w:tblGrid>
        <w:gridCol w:w="2689"/>
        <w:gridCol w:w="7190"/>
      </w:tblGrid>
      <w:tr w:rsidR="003D0915" w:rsidRPr="003D0915" w14:paraId="2741E0E6" w14:textId="77777777" w:rsidTr="00733426">
        <w:tc>
          <w:tcPr>
            <w:tcW w:w="2689" w:type="dxa"/>
            <w:shd w:val="clear" w:color="auto" w:fill="98804A"/>
          </w:tcPr>
          <w:p w14:paraId="409411A1" w14:textId="0419548A" w:rsidR="003D0915" w:rsidRPr="003D0915" w:rsidRDefault="00281F43" w:rsidP="001450A1">
            <w:pPr>
              <w:spacing w:before="120" w:after="120"/>
              <w:rPr>
                <w:b/>
                <w:bCs/>
                <w:color w:val="FFFFFF" w:themeColor="background1"/>
              </w:rPr>
            </w:pPr>
            <w:r>
              <w:rPr>
                <w:b/>
                <w:bCs/>
                <w:color w:val="FFFFFF" w:themeColor="background1"/>
              </w:rPr>
              <w:t>Competenties</w:t>
            </w:r>
          </w:p>
        </w:tc>
        <w:tc>
          <w:tcPr>
            <w:tcW w:w="7190" w:type="dxa"/>
            <w:shd w:val="clear" w:color="auto" w:fill="98804A"/>
          </w:tcPr>
          <w:p w14:paraId="0B751F63" w14:textId="77777777" w:rsidR="003D0915" w:rsidRPr="003D0915" w:rsidRDefault="003D0915" w:rsidP="001450A1">
            <w:pPr>
              <w:spacing w:before="120" w:after="120"/>
              <w:rPr>
                <w:b/>
                <w:bCs/>
                <w:color w:val="FFFFFF" w:themeColor="background1"/>
              </w:rPr>
            </w:pPr>
            <w:r w:rsidRPr="003D0915">
              <w:rPr>
                <w:b/>
                <w:bCs/>
                <w:color w:val="FFFFFF" w:themeColor="background1"/>
              </w:rPr>
              <w:t>Omschrijving</w:t>
            </w:r>
          </w:p>
        </w:tc>
      </w:tr>
      <w:tr w:rsidR="00281F43" w:rsidRPr="003D0915" w14:paraId="53B30929" w14:textId="77777777" w:rsidTr="00733426">
        <w:tc>
          <w:tcPr>
            <w:tcW w:w="2689" w:type="dxa"/>
          </w:tcPr>
          <w:p w14:paraId="255D996B" w14:textId="02A04AA2" w:rsidR="00281F43" w:rsidRPr="003D0915" w:rsidRDefault="0095711E" w:rsidP="001450A1">
            <w:pPr>
              <w:spacing w:before="120" w:after="120"/>
              <w:rPr>
                <w:b/>
                <w:bCs/>
              </w:rPr>
            </w:pPr>
            <w:r>
              <w:rPr>
                <w:b/>
                <w:bCs/>
              </w:rPr>
              <w:t>Positief beïnvloeden</w:t>
            </w:r>
            <w:r w:rsidR="00D1301E">
              <w:rPr>
                <w:b/>
                <w:bCs/>
              </w:rPr>
              <w:t xml:space="preserve"> </w:t>
            </w:r>
          </w:p>
        </w:tc>
        <w:tc>
          <w:tcPr>
            <w:tcW w:w="7190" w:type="dxa"/>
          </w:tcPr>
          <w:p w14:paraId="12D36AC0" w14:textId="76239C98" w:rsidR="00281F43" w:rsidRPr="003D0915" w:rsidRDefault="0095711E" w:rsidP="001450A1">
            <w:pPr>
              <w:spacing w:before="120" w:after="120"/>
            </w:pPr>
            <w:r>
              <w:t xml:space="preserve">Over onderhandelingsvaardigheden beschikken en door de manier van handelen een positieve invloed op medewerkers uitoefenen en hen daardoor gepaste beslissingen laten nemen. </w:t>
            </w:r>
          </w:p>
        </w:tc>
      </w:tr>
      <w:tr w:rsidR="0095711E" w:rsidRPr="003D0915" w14:paraId="7B31B972" w14:textId="77777777" w:rsidTr="00733426">
        <w:tc>
          <w:tcPr>
            <w:tcW w:w="2689" w:type="dxa"/>
          </w:tcPr>
          <w:p w14:paraId="167359B1" w14:textId="6209C7A5" w:rsidR="0095711E" w:rsidRPr="003D0915" w:rsidRDefault="0095711E" w:rsidP="001450A1">
            <w:pPr>
              <w:spacing w:before="120" w:after="120"/>
              <w:rPr>
                <w:b/>
                <w:bCs/>
              </w:rPr>
            </w:pPr>
            <w:r>
              <w:rPr>
                <w:b/>
                <w:bCs/>
              </w:rPr>
              <w:t>Effectief communiceren</w:t>
            </w:r>
            <w:r w:rsidRPr="003D0915">
              <w:rPr>
                <w:b/>
                <w:bCs/>
              </w:rPr>
              <w:t xml:space="preserve"> </w:t>
            </w:r>
          </w:p>
        </w:tc>
        <w:tc>
          <w:tcPr>
            <w:tcW w:w="7190" w:type="dxa"/>
          </w:tcPr>
          <w:p w14:paraId="62448F13" w14:textId="3A93DE48" w:rsidR="0095711E" w:rsidRPr="003D0915" w:rsidRDefault="0095711E" w:rsidP="001450A1">
            <w:pPr>
              <w:spacing w:before="120" w:after="120"/>
            </w:pPr>
            <w:r>
              <w:t>Op een gestructureerde en synthetische wijze een boodschap aan een groep overbrengen en hen vanuit de eigen expertise adviseren. De wijze van communiceren succesvol aanpassen aan de doelgroep.</w:t>
            </w:r>
          </w:p>
        </w:tc>
      </w:tr>
      <w:tr w:rsidR="00281F43" w:rsidRPr="003D0915" w14:paraId="6665E4D1" w14:textId="77777777" w:rsidTr="00733426">
        <w:tc>
          <w:tcPr>
            <w:tcW w:w="2689" w:type="dxa"/>
          </w:tcPr>
          <w:p w14:paraId="16593BE5" w14:textId="43A0FE28" w:rsidR="00281F43" w:rsidRDefault="00D1301E" w:rsidP="001450A1">
            <w:pPr>
              <w:spacing w:before="120" w:after="120"/>
              <w:rPr>
                <w:b/>
                <w:bCs/>
              </w:rPr>
            </w:pPr>
            <w:r>
              <w:rPr>
                <w:b/>
                <w:bCs/>
              </w:rPr>
              <w:t>Conceptueel denken</w:t>
            </w:r>
          </w:p>
        </w:tc>
        <w:tc>
          <w:tcPr>
            <w:tcW w:w="7190" w:type="dxa"/>
          </w:tcPr>
          <w:p w14:paraId="785B6CB2" w14:textId="7B7E0248" w:rsidR="00281F43" w:rsidRDefault="00D1301E" w:rsidP="001450A1">
            <w:pPr>
              <w:spacing w:before="120" w:after="120"/>
            </w:pPr>
            <w:r>
              <w:t xml:space="preserve">Het operationele werkveld overstijgen en onderliggende trends, opportuniteiten, waarden, belangen en noden detecteren en verwoorden. Het hier en nu kunnen loslaten en abstract redeneren. </w:t>
            </w:r>
          </w:p>
        </w:tc>
      </w:tr>
      <w:tr w:rsidR="0095711E" w:rsidRPr="003D0915" w14:paraId="4C375AF5" w14:textId="77777777" w:rsidTr="00733426">
        <w:tc>
          <w:tcPr>
            <w:tcW w:w="2689" w:type="dxa"/>
          </w:tcPr>
          <w:p w14:paraId="4597EC89" w14:textId="560C123A" w:rsidR="0095711E" w:rsidRDefault="0095711E" w:rsidP="001450A1">
            <w:pPr>
              <w:spacing w:before="120" w:after="120"/>
              <w:rPr>
                <w:b/>
                <w:bCs/>
              </w:rPr>
            </w:pPr>
            <w:r>
              <w:rPr>
                <w:b/>
                <w:bCs/>
              </w:rPr>
              <w:t>Project- en procesmanagement</w:t>
            </w:r>
          </w:p>
        </w:tc>
        <w:tc>
          <w:tcPr>
            <w:tcW w:w="7190" w:type="dxa"/>
          </w:tcPr>
          <w:p w14:paraId="705A1DD5" w14:textId="0AC1A624" w:rsidR="0095711E" w:rsidRDefault="0095711E" w:rsidP="001450A1">
            <w:pPr>
              <w:spacing w:before="120" w:after="120"/>
            </w:pPr>
            <w:r>
              <w:t xml:space="preserve">Complexe opdrachten structureren, rekening houdende met deadlines en doelstellingen. Hierbij rekening houdend met mijlpalen. Projectmedewerkers op een gestructureerde en planmatige wijze opvolgen en sturen. Op regelmatige wijze de voortgang communiceren naar de opdrachtgever. </w:t>
            </w:r>
          </w:p>
        </w:tc>
      </w:tr>
      <w:tr w:rsidR="00D1301E" w:rsidRPr="003D0915" w14:paraId="72877444" w14:textId="77777777" w:rsidTr="00733426">
        <w:tc>
          <w:tcPr>
            <w:tcW w:w="2689" w:type="dxa"/>
          </w:tcPr>
          <w:p w14:paraId="004D753F" w14:textId="7FDF3FE0" w:rsidR="00D1301E" w:rsidRDefault="0095711E" w:rsidP="001450A1">
            <w:pPr>
              <w:spacing w:before="120" w:after="120"/>
              <w:rPr>
                <w:b/>
                <w:bCs/>
              </w:rPr>
            </w:pPr>
            <w:r>
              <w:rPr>
                <w:b/>
                <w:bCs/>
              </w:rPr>
              <w:t>Oordeelsvorming</w:t>
            </w:r>
          </w:p>
        </w:tc>
        <w:tc>
          <w:tcPr>
            <w:tcW w:w="7190" w:type="dxa"/>
          </w:tcPr>
          <w:p w14:paraId="3697A450" w14:textId="58D56FE3" w:rsidR="00D1301E" w:rsidRDefault="0095711E" w:rsidP="001450A1">
            <w:pPr>
              <w:spacing w:before="120" w:after="120"/>
            </w:pPr>
            <w:r>
              <w:t xml:space="preserve">Op basis van beschikbare informatie een objectief onderbouwd beeld vormen over een bepaalde situatie of persoon. </w:t>
            </w:r>
          </w:p>
        </w:tc>
      </w:tr>
      <w:tr w:rsidR="00D1301E" w:rsidRPr="003D0915" w14:paraId="6E67A59F" w14:textId="77777777" w:rsidTr="00733426">
        <w:tc>
          <w:tcPr>
            <w:tcW w:w="2689" w:type="dxa"/>
          </w:tcPr>
          <w:p w14:paraId="373BD6C3" w14:textId="3EC65A8A" w:rsidR="00D1301E" w:rsidRDefault="0095711E" w:rsidP="001450A1">
            <w:pPr>
              <w:spacing w:before="120" w:after="120"/>
              <w:rPr>
                <w:b/>
                <w:bCs/>
              </w:rPr>
            </w:pPr>
            <w:r>
              <w:rPr>
                <w:b/>
                <w:bCs/>
              </w:rPr>
              <w:t>Verantwoordelijkheid opnemen</w:t>
            </w:r>
          </w:p>
        </w:tc>
        <w:tc>
          <w:tcPr>
            <w:tcW w:w="7190" w:type="dxa"/>
          </w:tcPr>
          <w:p w14:paraId="0DAAD986" w14:textId="76BD5020" w:rsidR="00D1301E" w:rsidRDefault="0095711E" w:rsidP="001450A1">
            <w:pPr>
              <w:spacing w:before="120" w:after="120"/>
            </w:pPr>
            <w:r>
              <w:t xml:space="preserve">Zichzelf aansprakelijk stellen voor correct geleverde prestaties binnen het gebied waarvoor men verantwoordelijk is en dit tegenover alle niveaus van de organisatie. </w:t>
            </w:r>
          </w:p>
        </w:tc>
      </w:tr>
    </w:tbl>
    <w:p w14:paraId="50A1AA65" w14:textId="77777777" w:rsidR="003D0915" w:rsidRPr="00677C8A" w:rsidRDefault="003D0915" w:rsidP="003D0915">
      <w:pPr>
        <w:pStyle w:val="Heading3"/>
        <w:spacing w:after="0"/>
        <w:rPr>
          <w:szCs w:val="20"/>
        </w:rPr>
      </w:pPr>
    </w:p>
    <w:p w14:paraId="5878F213" w14:textId="77777777" w:rsidR="001450A1" w:rsidRDefault="001450A1" w:rsidP="001450A1">
      <w:pPr>
        <w:pStyle w:val="Heading3"/>
      </w:pPr>
      <w:r w:rsidRPr="6B0615E0">
        <w:rPr>
          <w:rFonts w:eastAsia="Arial"/>
          <w:lang w:val="nl"/>
        </w:rPr>
        <w:t>Waarden</w:t>
      </w:r>
    </w:p>
    <w:tbl>
      <w:tblPr>
        <w:tblStyle w:val="TableGrid"/>
        <w:tblW w:w="0" w:type="auto"/>
        <w:tblLayout w:type="fixed"/>
        <w:tblLook w:val="06A0" w:firstRow="1" w:lastRow="0" w:firstColumn="1" w:lastColumn="0" w:noHBand="1" w:noVBand="1"/>
      </w:tblPr>
      <w:tblGrid>
        <w:gridCol w:w="2685"/>
        <w:gridCol w:w="7200"/>
      </w:tblGrid>
      <w:tr w:rsidR="001450A1" w14:paraId="4D6F46EB" w14:textId="77777777">
        <w:trPr>
          <w:trHeight w:val="300"/>
        </w:trPr>
        <w:tc>
          <w:tcPr>
            <w:tcW w:w="2685" w:type="dxa"/>
            <w:tcBorders>
              <w:top w:val="single" w:sz="8" w:space="0" w:color="auto"/>
              <w:left w:val="single" w:sz="8" w:space="0" w:color="auto"/>
              <w:bottom w:val="single" w:sz="8" w:space="0" w:color="auto"/>
              <w:right w:val="single" w:sz="8" w:space="0" w:color="auto"/>
            </w:tcBorders>
            <w:shd w:val="clear" w:color="auto" w:fill="98804A"/>
            <w:tcMar>
              <w:left w:w="90" w:type="dxa"/>
              <w:right w:w="90" w:type="dxa"/>
            </w:tcMar>
          </w:tcPr>
          <w:p w14:paraId="32EBA9DB" w14:textId="77777777" w:rsidR="001450A1" w:rsidRDefault="001450A1">
            <w:pPr>
              <w:spacing w:before="60" w:after="60"/>
            </w:pPr>
            <w:r w:rsidRPr="6B0615E0">
              <w:rPr>
                <w:rFonts w:ascii="Arial" w:eastAsia="Arial" w:hAnsi="Arial" w:cs="Arial"/>
                <w:b/>
                <w:bCs/>
                <w:color w:val="FFFFFF" w:themeColor="background1"/>
                <w:szCs w:val="20"/>
                <w:lang w:val="nl"/>
              </w:rPr>
              <w:t>Waarden</w:t>
            </w:r>
          </w:p>
        </w:tc>
        <w:tc>
          <w:tcPr>
            <w:tcW w:w="7200" w:type="dxa"/>
            <w:tcBorders>
              <w:top w:val="single" w:sz="8" w:space="0" w:color="auto"/>
              <w:left w:val="single" w:sz="8" w:space="0" w:color="auto"/>
              <w:bottom w:val="single" w:sz="8" w:space="0" w:color="auto"/>
              <w:right w:val="single" w:sz="8" w:space="0" w:color="auto"/>
            </w:tcBorders>
            <w:shd w:val="clear" w:color="auto" w:fill="98804A"/>
            <w:tcMar>
              <w:left w:w="90" w:type="dxa"/>
              <w:right w:w="90" w:type="dxa"/>
            </w:tcMar>
          </w:tcPr>
          <w:p w14:paraId="15E00011" w14:textId="77777777" w:rsidR="001450A1" w:rsidRDefault="001450A1">
            <w:pPr>
              <w:spacing w:before="60" w:after="60"/>
            </w:pPr>
            <w:r w:rsidRPr="6B0615E0">
              <w:rPr>
                <w:rFonts w:ascii="Arial" w:eastAsia="Arial" w:hAnsi="Arial" w:cs="Arial"/>
                <w:b/>
                <w:bCs/>
                <w:color w:val="FFFFFF" w:themeColor="background1"/>
                <w:szCs w:val="20"/>
                <w:lang w:val="nl"/>
              </w:rPr>
              <w:t>Omschrijving</w:t>
            </w:r>
          </w:p>
        </w:tc>
      </w:tr>
      <w:tr w:rsidR="001450A1" w14:paraId="4DA35588" w14:textId="77777777" w:rsidTr="00D77CD4">
        <w:trPr>
          <w:trHeight w:val="300"/>
        </w:trPr>
        <w:tc>
          <w:tcPr>
            <w:tcW w:w="2685" w:type="dxa"/>
            <w:tcBorders>
              <w:top w:val="single" w:sz="8" w:space="0" w:color="auto"/>
              <w:left w:val="single" w:sz="8" w:space="0" w:color="auto"/>
              <w:bottom w:val="single" w:sz="4" w:space="0" w:color="auto"/>
              <w:right w:val="single" w:sz="8" w:space="0" w:color="auto"/>
            </w:tcBorders>
            <w:tcMar>
              <w:left w:w="90" w:type="dxa"/>
              <w:right w:w="90" w:type="dxa"/>
            </w:tcMar>
          </w:tcPr>
          <w:p w14:paraId="41008ECC" w14:textId="77777777" w:rsidR="001450A1" w:rsidRDefault="001450A1">
            <w:r w:rsidRPr="6B0615E0">
              <w:rPr>
                <w:rFonts w:ascii="Arial" w:eastAsia="Arial" w:hAnsi="Arial" w:cs="Arial"/>
                <w:b/>
                <w:bCs/>
                <w:szCs w:val="20"/>
                <w:lang w:val="nl"/>
              </w:rPr>
              <w:t>Respect</w:t>
            </w:r>
          </w:p>
        </w:tc>
        <w:tc>
          <w:tcPr>
            <w:tcW w:w="7200" w:type="dxa"/>
            <w:tcBorders>
              <w:top w:val="single" w:sz="8" w:space="0" w:color="auto"/>
              <w:left w:val="single" w:sz="8" w:space="0" w:color="auto"/>
              <w:bottom w:val="single" w:sz="8" w:space="0" w:color="auto"/>
              <w:right w:val="single" w:sz="8" w:space="0" w:color="auto"/>
            </w:tcBorders>
            <w:tcMar>
              <w:left w:w="90" w:type="dxa"/>
              <w:right w:w="90" w:type="dxa"/>
            </w:tcMar>
          </w:tcPr>
          <w:p w14:paraId="4D72F164" w14:textId="77777777" w:rsidR="001450A1" w:rsidRDefault="001450A1">
            <w:pPr>
              <w:spacing w:before="120" w:after="120"/>
            </w:pPr>
            <w:r w:rsidRPr="6B0615E0">
              <w:rPr>
                <w:rFonts w:ascii="Arial" w:eastAsia="Arial" w:hAnsi="Arial" w:cs="Arial"/>
                <w:szCs w:val="20"/>
                <w:lang w:val="nl"/>
              </w:rPr>
              <w:t xml:space="preserve">Zich respectvol opstellen voor elkaar, onszelf, onze klanten en onze omgeving en stad. Beleefd, vriendelijk en behulpzaam zijn, ongeacht onze functie. Waardering tonen voor de inzet en engagement van onze collega’s. Bereid zijn elkaar te helpen waar nodig, om zo elkaar te versterken. Samenwerken en elkaars werk en expertise erkennen. </w:t>
            </w:r>
          </w:p>
        </w:tc>
      </w:tr>
      <w:tr w:rsidR="001450A1" w14:paraId="6807BE89" w14:textId="77777777" w:rsidTr="00D77CD4">
        <w:trPr>
          <w:trHeight w:val="300"/>
        </w:trPr>
        <w:tc>
          <w:tcPr>
            <w:tcW w:w="2685" w:type="dxa"/>
            <w:tcBorders>
              <w:top w:val="single" w:sz="4" w:space="0" w:color="auto"/>
              <w:left w:val="single" w:sz="8" w:space="0" w:color="auto"/>
              <w:bottom w:val="single" w:sz="4" w:space="0" w:color="auto"/>
              <w:right w:val="single" w:sz="8" w:space="0" w:color="auto"/>
            </w:tcBorders>
            <w:tcMar>
              <w:left w:w="90" w:type="dxa"/>
              <w:right w:w="90" w:type="dxa"/>
            </w:tcMar>
          </w:tcPr>
          <w:p w14:paraId="0E1511D5" w14:textId="77777777" w:rsidR="001450A1" w:rsidRDefault="001450A1">
            <w:r w:rsidRPr="6B0615E0">
              <w:rPr>
                <w:rFonts w:ascii="Arial" w:eastAsia="Arial" w:hAnsi="Arial" w:cs="Arial"/>
                <w:b/>
                <w:bCs/>
                <w:szCs w:val="20"/>
                <w:lang w:val="nl"/>
              </w:rPr>
              <w:t>Vertrouwen</w:t>
            </w:r>
          </w:p>
        </w:tc>
        <w:tc>
          <w:tcPr>
            <w:tcW w:w="7200" w:type="dxa"/>
            <w:tcBorders>
              <w:top w:val="single" w:sz="8" w:space="0" w:color="auto"/>
              <w:left w:val="single" w:sz="8" w:space="0" w:color="auto"/>
              <w:bottom w:val="single" w:sz="8" w:space="0" w:color="auto"/>
              <w:right w:val="single" w:sz="8" w:space="0" w:color="auto"/>
            </w:tcBorders>
            <w:tcMar>
              <w:left w:w="90" w:type="dxa"/>
              <w:right w:w="90" w:type="dxa"/>
            </w:tcMar>
          </w:tcPr>
          <w:p w14:paraId="5959E089" w14:textId="77777777" w:rsidR="001450A1" w:rsidRDefault="001450A1">
            <w:pPr>
              <w:spacing w:before="120" w:after="120"/>
            </w:pPr>
            <w:r w:rsidRPr="6B0615E0">
              <w:rPr>
                <w:rFonts w:ascii="Arial" w:eastAsia="Arial" w:hAnsi="Arial" w:cs="Arial"/>
                <w:szCs w:val="20"/>
                <w:lang w:val="nl"/>
              </w:rPr>
              <w:t xml:space="preserve">Vertrouwen geven en krijgen, kunnen reken op onze collega’s en leidinggevenden en zorgen dat zij ook kunnen rekenen op ons. Zorgen dat het gekregen vertrouwen niet geschonden wordt. Betrouwbaar en plichtsbewust zijn, onze taken uitvoeren met een zekere autonomie en op de best mogelijke manier. Loyaal zijn ten opzichte van onze collega’s, leidinggevende en organisatie. Genomen beslissingen respecteren en uitvoeren en deze durven in vraag stellen, in overleg met onze leidinggevende en op een constructieve en beleefde manier. </w:t>
            </w:r>
          </w:p>
        </w:tc>
      </w:tr>
      <w:tr w:rsidR="001450A1" w14:paraId="49F10B55" w14:textId="77777777" w:rsidTr="00D77CD4">
        <w:trPr>
          <w:trHeight w:val="300"/>
        </w:trPr>
        <w:tc>
          <w:tcPr>
            <w:tcW w:w="2685" w:type="dxa"/>
            <w:tcBorders>
              <w:top w:val="single" w:sz="4" w:space="0" w:color="auto"/>
              <w:left w:val="single" w:sz="8" w:space="0" w:color="auto"/>
              <w:bottom w:val="single" w:sz="4" w:space="0" w:color="auto"/>
              <w:right w:val="single" w:sz="8" w:space="0" w:color="auto"/>
            </w:tcBorders>
            <w:tcMar>
              <w:left w:w="90" w:type="dxa"/>
              <w:right w:w="90" w:type="dxa"/>
            </w:tcMar>
          </w:tcPr>
          <w:p w14:paraId="0C2574A6" w14:textId="77777777" w:rsidR="001450A1" w:rsidRDefault="001450A1">
            <w:r w:rsidRPr="6B0615E0">
              <w:rPr>
                <w:rFonts w:ascii="Arial" w:eastAsia="Arial" w:hAnsi="Arial" w:cs="Arial"/>
                <w:b/>
                <w:bCs/>
                <w:szCs w:val="20"/>
                <w:lang w:val="nl"/>
              </w:rPr>
              <w:t>Mensgericht</w:t>
            </w:r>
          </w:p>
        </w:tc>
        <w:tc>
          <w:tcPr>
            <w:tcW w:w="7200" w:type="dxa"/>
            <w:tcBorders>
              <w:top w:val="single" w:sz="8" w:space="0" w:color="auto"/>
              <w:left w:val="single" w:sz="8" w:space="0" w:color="auto"/>
              <w:bottom w:val="single" w:sz="8" w:space="0" w:color="auto"/>
              <w:right w:val="single" w:sz="8" w:space="0" w:color="auto"/>
            </w:tcBorders>
            <w:tcMar>
              <w:left w:w="90" w:type="dxa"/>
              <w:right w:w="90" w:type="dxa"/>
            </w:tcMar>
          </w:tcPr>
          <w:p w14:paraId="13F8C6D8" w14:textId="7F64A141" w:rsidR="001450A1" w:rsidRDefault="001450A1">
            <w:pPr>
              <w:spacing w:before="120" w:after="120"/>
            </w:pPr>
            <w:r w:rsidRPr="6B0615E0">
              <w:rPr>
                <w:rFonts w:ascii="Arial" w:eastAsia="Arial" w:hAnsi="Arial" w:cs="Arial"/>
                <w:szCs w:val="20"/>
                <w:lang w:val="nl"/>
              </w:rPr>
              <w:t>De mens centraal stellen: klanten, collega’s, leidinggevenden, bestuurders,</w:t>
            </w:r>
            <w:r w:rsidR="00D77CD4">
              <w:rPr>
                <w:rFonts w:ascii="Arial" w:eastAsia="Arial" w:hAnsi="Arial" w:cs="Arial"/>
                <w:szCs w:val="20"/>
                <w:lang w:val="nl"/>
              </w:rPr>
              <w:t xml:space="preserve"> </w:t>
            </w:r>
            <w:r w:rsidRPr="6B0615E0">
              <w:rPr>
                <w:rFonts w:ascii="Arial" w:eastAsia="Arial" w:hAnsi="Arial" w:cs="Arial"/>
                <w:szCs w:val="20"/>
                <w:lang w:val="nl"/>
              </w:rPr>
              <w:t>… Andere meningen respecteren, begripvol en verdraagzaam zijn en om kunnen gaan met verschillen. Onze collega’s behandelen op een gelijkwaardige en menswaardige manier en openstaan voor veranderingen. Klantvriendelijk en empathisch zijn, begrip hebben voor de problemen van de burgers en steevast zoeken naar de beste oplossing voor hen. Luisterbereid en sociaal zijn, positief in het leven staan en het aangeven wanneer ons iets dwars zit.</w:t>
            </w:r>
          </w:p>
        </w:tc>
      </w:tr>
      <w:tr w:rsidR="001450A1" w14:paraId="519CEA25" w14:textId="77777777" w:rsidTr="00D77CD4">
        <w:trPr>
          <w:trHeight w:val="300"/>
        </w:trPr>
        <w:tc>
          <w:tcPr>
            <w:tcW w:w="2685" w:type="dxa"/>
            <w:tcBorders>
              <w:top w:val="single" w:sz="4" w:space="0" w:color="auto"/>
              <w:left w:val="single" w:sz="8" w:space="0" w:color="auto"/>
              <w:bottom w:val="single" w:sz="4" w:space="0" w:color="auto"/>
              <w:right w:val="single" w:sz="8" w:space="0" w:color="auto"/>
            </w:tcBorders>
            <w:tcMar>
              <w:left w:w="90" w:type="dxa"/>
              <w:right w:w="90" w:type="dxa"/>
            </w:tcMar>
          </w:tcPr>
          <w:p w14:paraId="3F4CA4EE" w14:textId="77777777" w:rsidR="001450A1" w:rsidRDefault="001450A1">
            <w:r w:rsidRPr="6B0615E0">
              <w:rPr>
                <w:rFonts w:ascii="Arial" w:eastAsia="Arial" w:hAnsi="Arial" w:cs="Arial"/>
                <w:b/>
                <w:bCs/>
                <w:szCs w:val="20"/>
                <w:lang w:val="nl"/>
              </w:rPr>
              <w:t xml:space="preserve">Verantwoordelijkheid </w:t>
            </w:r>
          </w:p>
        </w:tc>
        <w:tc>
          <w:tcPr>
            <w:tcW w:w="7200" w:type="dxa"/>
            <w:tcBorders>
              <w:top w:val="single" w:sz="8" w:space="0" w:color="auto"/>
              <w:left w:val="single" w:sz="8" w:space="0" w:color="auto"/>
              <w:bottom w:val="single" w:sz="8" w:space="0" w:color="auto"/>
              <w:right w:val="single" w:sz="8" w:space="0" w:color="auto"/>
            </w:tcBorders>
            <w:tcMar>
              <w:left w:w="90" w:type="dxa"/>
              <w:right w:w="90" w:type="dxa"/>
            </w:tcMar>
          </w:tcPr>
          <w:p w14:paraId="7A600B42" w14:textId="77777777" w:rsidR="001450A1" w:rsidRDefault="001450A1">
            <w:pPr>
              <w:spacing w:before="120" w:after="120"/>
            </w:pPr>
            <w:r w:rsidRPr="6B0615E0">
              <w:rPr>
                <w:rFonts w:ascii="Arial" w:eastAsia="Arial" w:hAnsi="Arial" w:cs="Arial"/>
                <w:szCs w:val="20"/>
                <w:lang w:val="nl"/>
              </w:rPr>
              <w:t xml:space="preserve">Verantwoordelijkheid nemen en voor het beste resultaat gaan. Eigenaarschap tonen, betrokken zijn en ons vastbijten in onze opdrachten. Ons inzetten om onze taken binnen de vooropgestelde deadline op een goede manier af te werken en daar trots op zijn. Als expert optreden door competent en professioneel te handelen en de zaken op een kwaliteitsvolle manier af te handelen. Op een open en eerlijke manier aangeven wanneer een toegewezen taak voor ons moeilijk haalbaar is. Ons flexibel opstellen bij het uitvoeren van onze taken en onze persoonlijke grenzen durven aan te geven. </w:t>
            </w:r>
          </w:p>
        </w:tc>
      </w:tr>
      <w:tr w:rsidR="001450A1" w14:paraId="195CBE5C" w14:textId="77777777" w:rsidTr="00D77CD4">
        <w:trPr>
          <w:trHeight w:val="300"/>
        </w:trPr>
        <w:tc>
          <w:tcPr>
            <w:tcW w:w="2685" w:type="dxa"/>
            <w:tcBorders>
              <w:top w:val="single" w:sz="4" w:space="0" w:color="auto"/>
              <w:left w:val="single" w:sz="8" w:space="0" w:color="auto"/>
              <w:bottom w:val="single" w:sz="8" w:space="0" w:color="auto"/>
              <w:right w:val="single" w:sz="8" w:space="0" w:color="auto"/>
            </w:tcBorders>
            <w:tcMar>
              <w:left w:w="90" w:type="dxa"/>
              <w:right w:w="90" w:type="dxa"/>
            </w:tcMar>
          </w:tcPr>
          <w:p w14:paraId="0BCF815C" w14:textId="77777777" w:rsidR="001450A1" w:rsidRDefault="001450A1">
            <w:r w:rsidRPr="6B0615E0">
              <w:rPr>
                <w:rFonts w:ascii="Arial" w:eastAsia="Arial" w:hAnsi="Arial" w:cs="Arial"/>
                <w:b/>
                <w:bCs/>
                <w:szCs w:val="20"/>
                <w:lang w:val="nl"/>
              </w:rPr>
              <w:t xml:space="preserve">Ondernemend </w:t>
            </w:r>
          </w:p>
        </w:tc>
        <w:tc>
          <w:tcPr>
            <w:tcW w:w="7200" w:type="dxa"/>
            <w:tcBorders>
              <w:top w:val="single" w:sz="8" w:space="0" w:color="auto"/>
              <w:left w:val="single" w:sz="8" w:space="0" w:color="auto"/>
              <w:bottom w:val="single" w:sz="8" w:space="0" w:color="auto"/>
              <w:right w:val="single" w:sz="8" w:space="0" w:color="auto"/>
            </w:tcBorders>
            <w:tcMar>
              <w:left w:w="90" w:type="dxa"/>
              <w:right w:w="90" w:type="dxa"/>
            </w:tcMar>
          </w:tcPr>
          <w:p w14:paraId="32A259D3" w14:textId="77777777" w:rsidR="001450A1" w:rsidRDefault="001450A1">
            <w:pPr>
              <w:spacing w:before="120" w:after="120"/>
            </w:pPr>
            <w:r w:rsidRPr="6B0615E0">
              <w:rPr>
                <w:rFonts w:ascii="Arial" w:eastAsia="Arial" w:hAnsi="Arial" w:cs="Arial"/>
                <w:szCs w:val="20"/>
                <w:lang w:val="nl"/>
              </w:rPr>
              <w:t>Ondernemend en zelfredzaam zijn en niet wachten tot een taak ons wordt toegewezen. Proactief op zoek durven gaan naar oplossingen en deze laten valideren door de leidinggevende. Blijvend op zoek gaan naar de beste oplossingen, zelfs bij tegenslag. Gemotiveerd zijn om telkens het beste van zichzelf te geven. Innovatief zijn en ‘out-of-the-box’ durven denken. Goed om kunnen met veranderingen en openstaan voor nieuwe ideeën.</w:t>
            </w:r>
          </w:p>
        </w:tc>
      </w:tr>
    </w:tbl>
    <w:p w14:paraId="5A795FFD" w14:textId="72B1F52A" w:rsidR="00FA3CD2" w:rsidRPr="00873AD3" w:rsidRDefault="00FA3CD2" w:rsidP="00FA3CD2">
      <w:pPr>
        <w:pStyle w:val="Heading3"/>
      </w:pPr>
      <w:r w:rsidRPr="00873AD3">
        <w:t>Verruimende bepaling</w:t>
      </w:r>
    </w:p>
    <w:p w14:paraId="353A5F29" w14:textId="4FF97582" w:rsidR="006569DE" w:rsidRPr="006569DE" w:rsidRDefault="00FA3CD2" w:rsidP="00FA3CD2">
      <w:pPr>
        <w:rPr>
          <w:u w:val="single"/>
        </w:rPr>
      </w:pPr>
      <w:r w:rsidRPr="00873AD3">
        <w:t>Het is de bedoeling om via de functiebeschrijving een beeld te vormen van de functie en de belangrijkste taken aan te halen.</w:t>
      </w:r>
      <w:r>
        <w:t xml:space="preserve"> </w:t>
      </w:r>
      <w:r w:rsidRPr="00873AD3">
        <w:t>Deze opsomming heeft dus geenszins de intentie om volledig te zijn. De functie kan dus ook taken omvatten opgedragen door de algemeen directeur en die niet in deze lijst zijn opgesomd waaronder ook het verrichten van ondersteunende taken aan collega’s van andere diensten van het lokaal bestuur.</w:t>
      </w:r>
    </w:p>
    <w:sectPr w:rsidR="006569DE" w:rsidRPr="006569DE" w:rsidSect="00FA3CD2">
      <w:footerReference w:type="default" r:id="rId11"/>
      <w:headerReference w:type="first" r:id="rId12"/>
      <w:pgSz w:w="11907" w:h="16839" w:code="9"/>
      <w:pgMar w:top="1537" w:right="1009" w:bottom="964" w:left="1009" w:header="680"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FBBC" w14:textId="77777777" w:rsidR="00E47F2B" w:rsidRDefault="00E47F2B" w:rsidP="00C532ED">
      <w:r>
        <w:separator/>
      </w:r>
    </w:p>
    <w:p w14:paraId="136226AE" w14:textId="77777777" w:rsidR="00E47F2B" w:rsidRDefault="00E47F2B" w:rsidP="00C532ED"/>
  </w:endnote>
  <w:endnote w:type="continuationSeparator" w:id="0">
    <w:p w14:paraId="40324775" w14:textId="77777777" w:rsidR="00E47F2B" w:rsidRDefault="00E47F2B" w:rsidP="00C532ED">
      <w:r>
        <w:continuationSeparator/>
      </w:r>
    </w:p>
    <w:p w14:paraId="63EC2626" w14:textId="77777777" w:rsidR="00E47F2B" w:rsidRDefault="00E47F2B" w:rsidP="00C53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 New Roman (Koppen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171722"/>
      <w:docPartObj>
        <w:docPartGallery w:val="Page Numbers (Bottom of Page)"/>
        <w:docPartUnique/>
      </w:docPartObj>
    </w:sdtPr>
    <w:sdtEndPr>
      <w:rPr>
        <w:noProof/>
      </w:rPr>
    </w:sdtEndPr>
    <w:sdtContent>
      <w:p w14:paraId="54A81F40" w14:textId="77777777" w:rsidR="003D35C9" w:rsidRDefault="003F1E9A" w:rsidP="00C532ED">
        <w:r>
          <w:fldChar w:fldCharType="begin"/>
        </w:r>
        <w:r>
          <w:instrText xml:space="preserve"> PAGE   \* MERGEFORMAT </w:instrText>
        </w:r>
        <w:r>
          <w:fldChar w:fldCharType="separate"/>
        </w:r>
        <w:r w:rsidR="00C532E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74AF" w14:textId="77777777" w:rsidR="00E47F2B" w:rsidRDefault="00E47F2B" w:rsidP="00C532ED">
      <w:r>
        <w:separator/>
      </w:r>
    </w:p>
    <w:p w14:paraId="5DCC5F46" w14:textId="77777777" w:rsidR="00E47F2B" w:rsidRDefault="00E47F2B" w:rsidP="00C532ED"/>
  </w:footnote>
  <w:footnote w:type="continuationSeparator" w:id="0">
    <w:p w14:paraId="54823ECE" w14:textId="77777777" w:rsidR="00E47F2B" w:rsidRDefault="00E47F2B" w:rsidP="00C532ED">
      <w:r>
        <w:continuationSeparator/>
      </w:r>
    </w:p>
    <w:p w14:paraId="23B0366F" w14:textId="77777777" w:rsidR="00E47F2B" w:rsidRDefault="00E47F2B" w:rsidP="00C53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F4B3" w14:textId="77777777" w:rsidR="003D35C9" w:rsidRDefault="00AC2D87" w:rsidP="00C532ED">
    <w:pPr>
      <w:pStyle w:val="Header"/>
    </w:pPr>
    <w:r>
      <w:rPr>
        <w:noProof/>
        <w:lang w:val="nl-BE" w:eastAsia="nl-BE" w:bidi="ar-SA"/>
      </w:rPr>
      <w:drawing>
        <wp:anchor distT="0" distB="0" distL="114300" distR="114300" simplePos="0" relativeHeight="251658240" behindDoc="0" locked="0" layoutInCell="1" allowOverlap="1" wp14:anchorId="7A60042E" wp14:editId="508D5F5B">
          <wp:simplePos x="0" y="0"/>
          <wp:positionH relativeFrom="column">
            <wp:posOffset>4722496</wp:posOffset>
          </wp:positionH>
          <wp:positionV relativeFrom="paragraph">
            <wp:posOffset>-3176</wp:posOffset>
          </wp:positionV>
          <wp:extent cx="1479620" cy="509363"/>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484266" cy="5109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901065"/>
    <w:multiLevelType w:val="hybridMultilevel"/>
    <w:tmpl w:val="8BD040A4"/>
    <w:lvl w:ilvl="0" w:tplc="E1B0AB70">
      <w:numFmt w:val="bullet"/>
      <w:lvlText w:val="-"/>
      <w:lvlJc w:val="left"/>
      <w:pPr>
        <w:ind w:left="1080" w:hanging="360"/>
      </w:pPr>
      <w:rPr>
        <w:rFonts w:ascii="Arial" w:eastAsiaTheme="minorHAnsi"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06F1017B"/>
    <w:multiLevelType w:val="hybridMultilevel"/>
    <w:tmpl w:val="3980544C"/>
    <w:lvl w:ilvl="0" w:tplc="6BF8604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0370B7"/>
    <w:multiLevelType w:val="hybridMultilevel"/>
    <w:tmpl w:val="A3BE33A6"/>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E71BA"/>
    <w:multiLevelType w:val="hybridMultilevel"/>
    <w:tmpl w:val="8EAA9E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036152B"/>
    <w:multiLevelType w:val="hybridMultilevel"/>
    <w:tmpl w:val="F850D80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533B22"/>
    <w:multiLevelType w:val="hybridMultilevel"/>
    <w:tmpl w:val="9E2EE5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6D20ED"/>
    <w:multiLevelType w:val="hybridMultilevel"/>
    <w:tmpl w:val="B48276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D172C93"/>
    <w:multiLevelType w:val="hybridMultilevel"/>
    <w:tmpl w:val="5CFC9EA0"/>
    <w:lvl w:ilvl="0" w:tplc="3F92362A">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3F92362A"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2AC5D48"/>
    <w:multiLevelType w:val="hybridMultilevel"/>
    <w:tmpl w:val="D438F8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3B80B3F"/>
    <w:multiLevelType w:val="hybridMultilevel"/>
    <w:tmpl w:val="671610B0"/>
    <w:lvl w:ilvl="0" w:tplc="7DAA883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BD23F8A"/>
    <w:multiLevelType w:val="hybridMultilevel"/>
    <w:tmpl w:val="28B28A5C"/>
    <w:lvl w:ilvl="0" w:tplc="7DAA883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03" w:hanging="283"/>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83FFA"/>
    <w:multiLevelType w:val="hybridMultilevel"/>
    <w:tmpl w:val="5ADC2342"/>
    <w:lvl w:ilvl="0" w:tplc="08130005">
      <w:start w:val="1"/>
      <w:numFmt w:val="bullet"/>
      <w:lvlText w:val=""/>
      <w:lvlJc w:val="left"/>
      <w:pPr>
        <w:tabs>
          <w:tab w:val="num" w:pos="936"/>
        </w:tabs>
        <w:ind w:left="93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44297"/>
    <w:multiLevelType w:val="hybridMultilevel"/>
    <w:tmpl w:val="B1B6424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99D0342"/>
    <w:multiLevelType w:val="hybridMultilevel"/>
    <w:tmpl w:val="6B10AC0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B87D19"/>
    <w:multiLevelType w:val="hybridMultilevel"/>
    <w:tmpl w:val="DA8E33DA"/>
    <w:lvl w:ilvl="0" w:tplc="7DAA883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66913"/>
    <w:multiLevelType w:val="hybridMultilevel"/>
    <w:tmpl w:val="9FD092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FC40A4F"/>
    <w:multiLevelType w:val="hybridMultilevel"/>
    <w:tmpl w:val="4E3EEFA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1340E"/>
    <w:multiLevelType w:val="hybridMultilevel"/>
    <w:tmpl w:val="674C29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DD06E17"/>
    <w:multiLevelType w:val="hybridMultilevel"/>
    <w:tmpl w:val="5858854E"/>
    <w:lvl w:ilvl="0" w:tplc="7DAA8830">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65A0D64"/>
    <w:multiLevelType w:val="hybridMultilevel"/>
    <w:tmpl w:val="E9028C44"/>
    <w:lvl w:ilvl="0" w:tplc="7DAA8830">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610D7805"/>
    <w:multiLevelType w:val="hybridMultilevel"/>
    <w:tmpl w:val="76DC76F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8" w15:restartNumberingAfterBreak="0">
    <w:nsid w:val="6925036F"/>
    <w:multiLevelType w:val="hybridMultilevel"/>
    <w:tmpl w:val="C5ECAA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A2D0268"/>
    <w:multiLevelType w:val="hybridMultilevel"/>
    <w:tmpl w:val="DC9CC9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1790A44"/>
    <w:multiLevelType w:val="hybridMultilevel"/>
    <w:tmpl w:val="BE902A98"/>
    <w:lvl w:ilvl="0" w:tplc="8D207052">
      <w:start w:val="1"/>
      <w:numFmt w:val="bullet"/>
      <w:pStyle w:val="List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4802A2E"/>
    <w:multiLevelType w:val="hybridMultilevel"/>
    <w:tmpl w:val="C8A63B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753708E"/>
    <w:multiLevelType w:val="hybridMultilevel"/>
    <w:tmpl w:val="8092D5E6"/>
    <w:lvl w:ilvl="0" w:tplc="08130005">
      <w:start w:val="1"/>
      <w:numFmt w:val="bullet"/>
      <w:lvlText w:val=""/>
      <w:lvlJc w:val="left"/>
      <w:pPr>
        <w:tabs>
          <w:tab w:val="num" w:pos="936"/>
        </w:tabs>
        <w:ind w:left="93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116F95"/>
    <w:multiLevelType w:val="hybridMultilevel"/>
    <w:tmpl w:val="379E1A60"/>
    <w:lvl w:ilvl="0" w:tplc="E16EFDCC">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9F61C5D"/>
    <w:multiLevelType w:val="hybridMultilevel"/>
    <w:tmpl w:val="9F4A8688"/>
    <w:lvl w:ilvl="0" w:tplc="ABE84DA8">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680274">
    <w:abstractNumId w:val="1"/>
  </w:num>
  <w:num w:numId="2" w16cid:durableId="1186096118">
    <w:abstractNumId w:val="14"/>
  </w:num>
  <w:num w:numId="3" w16cid:durableId="1518813696">
    <w:abstractNumId w:val="0"/>
  </w:num>
  <w:num w:numId="4" w16cid:durableId="1523974976">
    <w:abstractNumId w:val="20"/>
  </w:num>
  <w:num w:numId="5" w16cid:durableId="992178629">
    <w:abstractNumId w:val="15"/>
  </w:num>
  <w:num w:numId="6" w16cid:durableId="1234659770">
    <w:abstractNumId w:val="23"/>
  </w:num>
  <w:num w:numId="7" w16cid:durableId="928270282">
    <w:abstractNumId w:val="5"/>
  </w:num>
  <w:num w:numId="8" w16cid:durableId="13775268">
    <w:abstractNumId w:val="34"/>
  </w:num>
  <w:num w:numId="9" w16cid:durableId="725494132">
    <w:abstractNumId w:val="32"/>
  </w:num>
  <w:num w:numId="10" w16cid:durableId="1107386574">
    <w:abstractNumId w:val="16"/>
  </w:num>
  <w:num w:numId="11" w16cid:durableId="299270127">
    <w:abstractNumId w:val="30"/>
  </w:num>
  <w:num w:numId="12" w16cid:durableId="887255620">
    <w:abstractNumId w:val="13"/>
  </w:num>
  <w:num w:numId="13" w16cid:durableId="1919972404">
    <w:abstractNumId w:val="10"/>
  </w:num>
  <w:num w:numId="14" w16cid:durableId="1322081998">
    <w:abstractNumId w:val="17"/>
  </w:num>
  <w:num w:numId="15" w16cid:durableId="1750809731">
    <w:abstractNumId w:val="11"/>
  </w:num>
  <w:num w:numId="16" w16cid:durableId="1973825967">
    <w:abstractNumId w:val="25"/>
  </w:num>
  <w:num w:numId="17" w16cid:durableId="1279529554">
    <w:abstractNumId w:val="26"/>
  </w:num>
  <w:num w:numId="18" w16cid:durableId="784930387">
    <w:abstractNumId w:val="19"/>
  </w:num>
  <w:num w:numId="19" w16cid:durableId="2036537541">
    <w:abstractNumId w:val="12"/>
  </w:num>
  <w:num w:numId="20" w16cid:durableId="2099447004">
    <w:abstractNumId w:val="6"/>
  </w:num>
  <w:num w:numId="21" w16cid:durableId="1903952596">
    <w:abstractNumId w:val="22"/>
  </w:num>
  <w:num w:numId="22" w16cid:durableId="1808550186">
    <w:abstractNumId w:val="8"/>
  </w:num>
  <w:num w:numId="23" w16cid:durableId="1290168497">
    <w:abstractNumId w:val="27"/>
  </w:num>
  <w:num w:numId="24" w16cid:durableId="1123117730">
    <w:abstractNumId w:val="24"/>
  </w:num>
  <w:num w:numId="25" w16cid:durableId="1078212065">
    <w:abstractNumId w:val="28"/>
  </w:num>
  <w:num w:numId="26" w16cid:durableId="441801634">
    <w:abstractNumId w:val="21"/>
  </w:num>
  <w:num w:numId="27" w16cid:durableId="1567259525">
    <w:abstractNumId w:val="2"/>
  </w:num>
  <w:num w:numId="28" w16cid:durableId="1755198169">
    <w:abstractNumId w:val="31"/>
  </w:num>
  <w:num w:numId="29" w16cid:durableId="2139954150">
    <w:abstractNumId w:val="33"/>
  </w:num>
  <w:num w:numId="30" w16cid:durableId="1800491795">
    <w:abstractNumId w:val="4"/>
  </w:num>
  <w:num w:numId="31" w16cid:durableId="1674726365">
    <w:abstractNumId w:val="18"/>
  </w:num>
  <w:num w:numId="32" w16cid:durableId="1370955153">
    <w:abstractNumId w:val="29"/>
  </w:num>
  <w:num w:numId="33" w16cid:durableId="82724032">
    <w:abstractNumId w:val="3"/>
  </w:num>
  <w:num w:numId="34" w16cid:durableId="1199707767">
    <w:abstractNumId w:val="7"/>
  </w:num>
  <w:num w:numId="35" w16cid:durableId="1556233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663"/>
    <w:rsid w:val="00023A92"/>
    <w:rsid w:val="00035812"/>
    <w:rsid w:val="000462C1"/>
    <w:rsid w:val="000535C5"/>
    <w:rsid w:val="000C1E5A"/>
    <w:rsid w:val="000E31E4"/>
    <w:rsid w:val="000E5F5C"/>
    <w:rsid w:val="000E7C2D"/>
    <w:rsid w:val="001135D5"/>
    <w:rsid w:val="001450A1"/>
    <w:rsid w:val="00154F7B"/>
    <w:rsid w:val="001E4C40"/>
    <w:rsid w:val="00230228"/>
    <w:rsid w:val="00256B68"/>
    <w:rsid w:val="00271A78"/>
    <w:rsid w:val="00281F43"/>
    <w:rsid w:val="003D0915"/>
    <w:rsid w:val="003D1A18"/>
    <w:rsid w:val="003D35C9"/>
    <w:rsid w:val="003E1462"/>
    <w:rsid w:val="003F1E9A"/>
    <w:rsid w:val="004649A4"/>
    <w:rsid w:val="004A236F"/>
    <w:rsid w:val="004A5827"/>
    <w:rsid w:val="00500045"/>
    <w:rsid w:val="005024FF"/>
    <w:rsid w:val="00513FCA"/>
    <w:rsid w:val="0058348D"/>
    <w:rsid w:val="005B0E28"/>
    <w:rsid w:val="005B4560"/>
    <w:rsid w:val="006569DE"/>
    <w:rsid w:val="00677C8A"/>
    <w:rsid w:val="00691A84"/>
    <w:rsid w:val="0069740E"/>
    <w:rsid w:val="006F328F"/>
    <w:rsid w:val="0070426C"/>
    <w:rsid w:val="00733426"/>
    <w:rsid w:val="008036D8"/>
    <w:rsid w:val="008250A1"/>
    <w:rsid w:val="00857E61"/>
    <w:rsid w:val="008D217E"/>
    <w:rsid w:val="00953360"/>
    <w:rsid w:val="0095711E"/>
    <w:rsid w:val="00966988"/>
    <w:rsid w:val="009A61BC"/>
    <w:rsid w:val="009B55B2"/>
    <w:rsid w:val="009F4663"/>
    <w:rsid w:val="00A02F28"/>
    <w:rsid w:val="00A378E2"/>
    <w:rsid w:val="00A704D2"/>
    <w:rsid w:val="00A72A10"/>
    <w:rsid w:val="00A764B7"/>
    <w:rsid w:val="00AC2D87"/>
    <w:rsid w:val="00AE0CE8"/>
    <w:rsid w:val="00AF0D81"/>
    <w:rsid w:val="00B92E35"/>
    <w:rsid w:val="00BD7637"/>
    <w:rsid w:val="00C532ED"/>
    <w:rsid w:val="00CB05BC"/>
    <w:rsid w:val="00CD7B4A"/>
    <w:rsid w:val="00CE2ED5"/>
    <w:rsid w:val="00D05FCC"/>
    <w:rsid w:val="00D1301E"/>
    <w:rsid w:val="00D77CD4"/>
    <w:rsid w:val="00D956B1"/>
    <w:rsid w:val="00E07D79"/>
    <w:rsid w:val="00E353E9"/>
    <w:rsid w:val="00E47F2B"/>
    <w:rsid w:val="00E67B84"/>
    <w:rsid w:val="00EB7B79"/>
    <w:rsid w:val="00F43B74"/>
    <w:rsid w:val="00F4752C"/>
    <w:rsid w:val="00F62418"/>
    <w:rsid w:val="00FA3CD2"/>
    <w:rsid w:val="288BB3EE"/>
    <w:rsid w:val="6AA965D0"/>
    <w:rsid w:val="729A22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B49111"/>
  <w15:chartTrackingRefBased/>
  <w15:docId w15:val="{F8840BAE-85DA-49FD-A878-E72B4363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nl-NL" w:eastAsia="ja-JP" w:bidi="nl-NL"/>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 Huisstijl"/>
    <w:qFormat/>
    <w:rsid w:val="009B55B2"/>
    <w:pPr>
      <w:spacing w:line="276" w:lineRule="auto"/>
    </w:pPr>
    <w:rPr>
      <w:color w:val="000000" w:themeColor="text1"/>
      <w:sz w:val="20"/>
    </w:rPr>
  </w:style>
  <w:style w:type="paragraph" w:styleId="Heading1">
    <w:name w:val="heading 1"/>
    <w:aliases w:val="Kop 1 - Huisstijl"/>
    <w:basedOn w:val="Normal"/>
    <w:next w:val="Normal"/>
    <w:link w:val="Heading1Char"/>
    <w:autoRedefine/>
    <w:uiPriority w:val="9"/>
    <w:qFormat/>
    <w:rsid w:val="00C532ED"/>
    <w:pPr>
      <w:keepNext/>
      <w:keepLines/>
      <w:spacing w:before="240"/>
      <w:outlineLvl w:val="0"/>
    </w:pPr>
    <w:rPr>
      <w:rFonts w:eastAsiaTheme="majorEastAsia" w:cs="Times New Roman (Koppen CS)"/>
      <w:b/>
      <w:color w:val="837349"/>
      <w:sz w:val="32"/>
      <w:szCs w:val="32"/>
    </w:rPr>
  </w:style>
  <w:style w:type="paragraph" w:styleId="Heading2">
    <w:name w:val="heading 2"/>
    <w:aliases w:val="Kop 2 - Huisstijl"/>
    <w:basedOn w:val="Normal"/>
    <w:next w:val="Normal"/>
    <w:link w:val="Heading2Char"/>
    <w:autoRedefine/>
    <w:uiPriority w:val="9"/>
    <w:unhideWhenUsed/>
    <w:qFormat/>
    <w:rsid w:val="00C532ED"/>
    <w:pPr>
      <w:keepNext/>
      <w:keepLines/>
      <w:spacing w:after="200" w:line="240" w:lineRule="auto"/>
      <w:outlineLvl w:val="1"/>
    </w:pPr>
    <w:rPr>
      <w:rFonts w:eastAsiaTheme="majorEastAsia" w:cs="Times New Roman (Koppen CS)"/>
      <w:b/>
      <w:color w:val="837349"/>
      <w:sz w:val="24"/>
      <w:szCs w:val="26"/>
    </w:rPr>
  </w:style>
  <w:style w:type="paragraph" w:styleId="Heading3">
    <w:name w:val="heading 3"/>
    <w:aliases w:val="Kop 3 - Huisstijl"/>
    <w:basedOn w:val="Heading2"/>
    <w:next w:val="Heading2"/>
    <w:link w:val="Heading3Char"/>
    <w:autoRedefine/>
    <w:uiPriority w:val="9"/>
    <w:unhideWhenUsed/>
    <w:qFormat/>
    <w:rsid w:val="00C532ED"/>
    <w:pPr>
      <w:spacing w:after="240"/>
      <w:contextualSpacing/>
      <w:outlineLvl w:val="2"/>
    </w:pPr>
    <w:rPr>
      <w:rFonts w:cstheme="majorBidi"/>
      <w:b w:val="0"/>
      <w:sz w:val="2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072C6"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F98723"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F98723"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aliases w:val="Kop 1 - Huisstijl Char"/>
    <w:basedOn w:val="DefaultParagraphFont"/>
    <w:link w:val="Heading1"/>
    <w:uiPriority w:val="9"/>
    <w:rsid w:val="00C532ED"/>
    <w:rPr>
      <w:rFonts w:eastAsiaTheme="majorEastAsia" w:cs="Times New Roman (Koppen CS)"/>
      <w:b/>
      <w:color w:val="837349"/>
      <w:sz w:val="32"/>
      <w:szCs w:val="32"/>
    </w:rPr>
  </w:style>
  <w:style w:type="character" w:customStyle="1" w:styleId="Heading2Char">
    <w:name w:val="Heading 2 Char"/>
    <w:aliases w:val="Kop 2 - Huisstijl Char"/>
    <w:basedOn w:val="DefaultParagraphFont"/>
    <w:link w:val="Heading2"/>
    <w:uiPriority w:val="9"/>
    <w:rsid w:val="00C532ED"/>
    <w:rPr>
      <w:rFonts w:eastAsiaTheme="majorEastAsia" w:cs="Times New Roman (Koppen CS)"/>
      <w:b/>
      <w:color w:val="837349"/>
      <w:szCs w:val="26"/>
    </w:rPr>
  </w:style>
  <w:style w:type="paragraph" w:styleId="ListBullet">
    <w:name w:val="List Bullet"/>
    <w:aliases w:val="Lijst opsom.teken - Huisstijl"/>
    <w:basedOn w:val="Heading3"/>
    <w:autoRedefine/>
    <w:uiPriority w:val="31"/>
    <w:qFormat/>
    <w:rsid w:val="006569DE"/>
    <w:pPr>
      <w:numPr>
        <w:numId w:val="11"/>
      </w:numPr>
      <w:spacing w:before="120" w:line="300" w:lineRule="auto"/>
      <w:ind w:left="714" w:hanging="357"/>
    </w:pPr>
    <w:rPr>
      <w:color w:val="000000" w:themeColor="text1"/>
    </w:r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F98723"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0072C6"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0072C6" w:themeColor="accent1"/>
    </w:rPr>
  </w:style>
  <w:style w:type="character" w:styleId="Emphasis">
    <w:name w:val="Emphasis"/>
    <w:basedOn w:val="DefaultParagraphFont"/>
    <w:uiPriority w:val="20"/>
    <w:semiHidden/>
    <w:unhideWhenUsed/>
    <w:qFormat/>
    <w:rPr>
      <w:i/>
      <w:iCs/>
      <w:color w:val="F98723" w:themeColor="accent2"/>
    </w:rPr>
  </w:style>
  <w:style w:type="character" w:styleId="IntenseEmphasis">
    <w:name w:val="Intense Emphasis"/>
    <w:basedOn w:val="DefaultParagraphFont"/>
    <w:uiPriority w:val="21"/>
    <w:semiHidden/>
    <w:unhideWhenUsed/>
    <w:qFormat/>
    <w:rPr>
      <w:b/>
      <w:i/>
      <w:iCs/>
      <w:color w:val="F98723" w:themeColor="accent2"/>
    </w:rPr>
  </w:style>
  <w:style w:type="character" w:styleId="Strong">
    <w:name w:val="Strong"/>
    <w:basedOn w:val="DefaultParagraphFont"/>
    <w:uiPriority w:val="22"/>
    <w:semiHidden/>
    <w:unhideWhenUsed/>
    <w:qFormat/>
    <w:rPr>
      <w:b/>
      <w:bCs/>
      <w:color w:val="0072C6" w:themeColor="accent1"/>
    </w:rPr>
  </w:style>
  <w:style w:type="character" w:styleId="SubtleReference">
    <w:name w:val="Subtle Reference"/>
    <w:basedOn w:val="DefaultParagraphFont"/>
    <w:uiPriority w:val="31"/>
    <w:semiHidden/>
    <w:unhideWhenUsed/>
    <w:qFormat/>
    <w:rPr>
      <w:i/>
      <w:caps/>
      <w:smallCaps w:val="0"/>
      <w:color w:val="0072C6" w:themeColor="accent1"/>
    </w:rPr>
  </w:style>
  <w:style w:type="character" w:styleId="IntenseReference">
    <w:name w:val="Intense Reference"/>
    <w:basedOn w:val="DefaultParagraphFont"/>
    <w:uiPriority w:val="32"/>
    <w:semiHidden/>
    <w:unhideWhenUsed/>
    <w:qFormat/>
    <w:rPr>
      <w:b/>
      <w:bCs/>
      <w:i/>
      <w:caps/>
      <w:smallCaps w:val="0"/>
      <w:color w:val="0072C6" w:themeColor="accent1"/>
      <w:spacing w:val="0"/>
    </w:rPr>
  </w:style>
  <w:style w:type="character" w:styleId="BookTitle">
    <w:name w:val="Book Title"/>
    <w:basedOn w:val="DefaultParagraphFont"/>
    <w:uiPriority w:val="33"/>
    <w:semiHidden/>
    <w:unhideWhenUsed/>
    <w:qFormat/>
    <w:rPr>
      <w:b w:val="0"/>
      <w:bCs/>
      <w:i w:val="0"/>
      <w:iCs/>
      <w:color w:val="0072C6" w:themeColor="accent1"/>
      <w:spacing w:val="0"/>
      <w:u w:val="single"/>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OCHeading">
    <w:name w:val="TOC Heading"/>
    <w:basedOn w:val="Heading1"/>
    <w:next w:val="Normal"/>
    <w:uiPriority w:val="39"/>
    <w:semiHidden/>
    <w:unhideWhenUsed/>
    <w:qFormat/>
    <w:pPr>
      <w:spacing w:after="0"/>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rsid w:val="00256B68"/>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56B68"/>
    <w:rPr>
      <w:color w:val="000000" w:themeColor="text1"/>
    </w:rPr>
  </w:style>
  <w:style w:type="paragraph" w:styleId="Quote">
    <w:name w:val="Quote"/>
    <w:aliases w:val="Citaat - Huisstijl"/>
    <w:basedOn w:val="Normal"/>
    <w:next w:val="Normal"/>
    <w:link w:val="QuoteChar"/>
    <w:autoRedefine/>
    <w:uiPriority w:val="29"/>
    <w:unhideWhenUsed/>
    <w:qFormat/>
    <w:rsid w:val="009F4663"/>
    <w:pPr>
      <w:spacing w:before="360" w:after="560" w:line="264" w:lineRule="auto"/>
      <w:ind w:left="605" w:right="605"/>
      <w:contextualSpacing/>
    </w:pPr>
    <w:rPr>
      <w:rFonts w:ascii="Arial" w:hAnsi="Arial"/>
      <w:i/>
      <w:iCs/>
      <w:color w:val="837349"/>
      <w:sz w:val="28"/>
    </w:rPr>
  </w:style>
  <w:style w:type="character" w:customStyle="1" w:styleId="QuoteChar">
    <w:name w:val="Quote Char"/>
    <w:aliases w:val="Citaat - Huisstijl Char"/>
    <w:basedOn w:val="DefaultParagraphFont"/>
    <w:link w:val="Quote"/>
    <w:uiPriority w:val="29"/>
    <w:rsid w:val="009F4663"/>
    <w:rPr>
      <w:rFonts w:ascii="Arial" w:hAnsi="Arial"/>
      <w:i/>
      <w:iCs/>
      <w:color w:val="837349"/>
      <w:sz w:val="28"/>
    </w:rPr>
  </w:style>
  <w:style w:type="character" w:customStyle="1" w:styleId="IntenseQuoteChar">
    <w:name w:val="Intense Quote Char"/>
    <w:basedOn w:val="DefaultParagraphFont"/>
    <w:link w:val="IntenseQuote"/>
    <w:uiPriority w:val="30"/>
    <w:semiHidden/>
    <w:rPr>
      <w:rFonts w:asciiTheme="majorHAnsi" w:hAnsiTheme="majorHAnsi"/>
      <w:i/>
      <w:iCs/>
      <w:color w:val="F98723" w:themeColor="accent2"/>
      <w:sz w:val="32"/>
    </w:rPr>
  </w:style>
  <w:style w:type="character" w:customStyle="1" w:styleId="Heading3Char">
    <w:name w:val="Heading 3 Char"/>
    <w:aliases w:val="Kop 3 - Huisstijl Char"/>
    <w:basedOn w:val="DefaultParagraphFont"/>
    <w:link w:val="Heading3"/>
    <w:uiPriority w:val="9"/>
    <w:rsid w:val="00C532ED"/>
    <w:rPr>
      <w:rFonts w:eastAsiaTheme="majorEastAsia" w:cstheme="majorBidi"/>
      <w:color w:val="837349"/>
      <w:sz w:val="20"/>
      <w:szCs w:val="26"/>
    </w:rPr>
  </w:style>
  <w:style w:type="paragraph" w:styleId="ListNumber">
    <w:name w:val="List Number"/>
    <w:aliases w:val="Lijstnummering - Huisstijl"/>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072C6" w:themeColor="accent1"/>
    </w:rPr>
  </w:style>
  <w:style w:type="paragraph" w:styleId="ListParagraph">
    <w:name w:val="List Paragraph"/>
    <w:basedOn w:val="Normal"/>
    <w:uiPriority w:val="34"/>
    <w:unhideWhenUsed/>
    <w:qFormat/>
    <w:rsid w:val="006569DE"/>
    <w:pPr>
      <w:ind w:left="720"/>
      <w:contextualSpacing/>
    </w:pPr>
  </w:style>
  <w:style w:type="paragraph" w:customStyle="1" w:styleId="Default">
    <w:name w:val="Default"/>
    <w:rsid w:val="00B92E35"/>
    <w:pPr>
      <w:autoSpaceDE w:val="0"/>
      <w:autoSpaceDN w:val="0"/>
      <w:adjustRightInd w:val="0"/>
      <w:spacing w:before="0" w:after="0" w:line="240" w:lineRule="auto"/>
    </w:pPr>
    <w:rPr>
      <w:rFonts w:ascii="Verdana" w:eastAsia="Calibri" w:hAnsi="Verdana" w:cs="Verdana"/>
      <w:color w:val="000000"/>
      <w:lang w:val="nl-BE" w:eastAsia="en-US" w:bidi="ar-SA"/>
    </w:rPr>
  </w:style>
  <w:style w:type="paragraph" w:styleId="BodyText">
    <w:name w:val="Body Text"/>
    <w:basedOn w:val="Normal"/>
    <w:link w:val="BodyTextChar"/>
    <w:semiHidden/>
    <w:rsid w:val="00D05FCC"/>
    <w:pPr>
      <w:spacing w:before="0" w:after="0" w:line="240" w:lineRule="auto"/>
      <w:jc w:val="both"/>
    </w:pPr>
    <w:rPr>
      <w:rFonts w:ascii="Times New Roman" w:eastAsia="Times New Roman" w:hAnsi="Times New Roman" w:cs="Times New Roman"/>
      <w:color w:val="auto"/>
      <w:sz w:val="24"/>
      <w:lang w:eastAsia="nl-NL" w:bidi="ar-SA"/>
    </w:rPr>
  </w:style>
  <w:style w:type="character" w:customStyle="1" w:styleId="BodyTextChar">
    <w:name w:val="Body Text Char"/>
    <w:basedOn w:val="DefaultParagraphFont"/>
    <w:link w:val="BodyText"/>
    <w:semiHidden/>
    <w:rsid w:val="00D05FCC"/>
    <w:rPr>
      <w:rFonts w:ascii="Times New Roman" w:eastAsia="Times New Roman" w:hAnsi="Times New Roman" w:cs="Times New Roman"/>
      <w:color w:val="auto"/>
      <w:lang w:eastAsia="nl-NL" w:bidi="ar-SA"/>
    </w:rPr>
  </w:style>
  <w:style w:type="paragraph" w:styleId="NormalWeb">
    <w:name w:val="Normal (Web)"/>
    <w:basedOn w:val="Normal"/>
    <w:uiPriority w:val="99"/>
    <w:semiHidden/>
    <w:unhideWhenUsed/>
    <w:rsid w:val="00E07D7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haliel\Downloads\Opmaak_document%20(3).dotx" TargetMode="External"/></Relationships>
</file>

<file path=word/theme/theme1.xml><?xml version="1.0" encoding="utf-8"?>
<a:theme xmlns:a="http://schemas.openxmlformats.org/drawingml/2006/main" name="Office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3A376DC36D154DBE961BC86E21808C" ma:contentTypeVersion="15" ma:contentTypeDescription="Create a new document." ma:contentTypeScope="" ma:versionID="f9cb7382d7092a706c4dc82c85d0e59b">
  <xsd:schema xmlns:xsd="http://www.w3.org/2001/XMLSchema" xmlns:xs="http://www.w3.org/2001/XMLSchema" xmlns:p="http://schemas.microsoft.com/office/2006/metadata/properties" xmlns:ns1="http://schemas.microsoft.com/sharepoint/v3" xmlns:ns2="dc3c7381-c449-4344-b263-1f157f0d302b" xmlns:ns3="967a2f2e-bfff-4018-95c7-eda56e1ea06e" targetNamespace="http://schemas.microsoft.com/office/2006/metadata/properties" ma:root="true" ma:fieldsID="09e5cce966bdaa0ee23681f92be66e04" ns1:_="" ns2:_="" ns3:_="">
    <xsd:import namespace="http://schemas.microsoft.com/sharepoint/v3"/>
    <xsd:import namespace="dc3c7381-c449-4344-b263-1f157f0d302b"/>
    <xsd:import namespace="967a2f2e-bfff-4018-95c7-eda56e1ea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c7381-c449-4344-b263-1f157f0d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d42ad1-5654-47fe-ae4c-1af1e4a149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a2f2e-bfff-4018-95c7-eda56e1ea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881e574-7260-4d2e-950c-af6ed61542a1}" ma:internalName="TaxCatchAll" ma:showField="CatchAllData" ma:web="967a2f2e-bfff-4018-95c7-eda56e1ea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c3c7381-c449-4344-b263-1f157f0d302b">
      <Terms xmlns="http://schemas.microsoft.com/office/infopath/2007/PartnerControls"/>
    </lcf76f155ced4ddcb4097134ff3c332f>
    <TaxCatchAll xmlns="967a2f2e-bfff-4018-95c7-eda56e1ea06e" xsi:nil="true"/>
  </documentManagement>
</p:properties>
</file>

<file path=customXml/itemProps1.xml><?xml version="1.0" encoding="utf-8"?>
<ds:datastoreItem xmlns:ds="http://schemas.openxmlformats.org/officeDocument/2006/customXml" ds:itemID="{F0500C28-E586-4DB4-A6C2-25A5973DF14B}">
  <ds:schemaRefs>
    <ds:schemaRef ds:uri="http://schemas.openxmlformats.org/officeDocument/2006/bibliography"/>
  </ds:schemaRefs>
</ds:datastoreItem>
</file>

<file path=customXml/itemProps2.xml><?xml version="1.0" encoding="utf-8"?>
<ds:datastoreItem xmlns:ds="http://schemas.openxmlformats.org/officeDocument/2006/customXml" ds:itemID="{800AE55A-0A4D-4C44-A3C1-8A3B55EE5B1C}">
  <ds:schemaRefs>
    <ds:schemaRef ds:uri="http://schemas.microsoft.com/sharepoint/v3/contenttype/forms"/>
  </ds:schemaRefs>
</ds:datastoreItem>
</file>

<file path=customXml/itemProps3.xml><?xml version="1.0" encoding="utf-8"?>
<ds:datastoreItem xmlns:ds="http://schemas.openxmlformats.org/officeDocument/2006/customXml" ds:itemID="{51BB9385-FC9C-4446-BFDE-5EF817EC4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c7381-c449-4344-b263-1f157f0d302b"/>
    <ds:schemaRef ds:uri="967a2f2e-bfff-4018-95c7-eda56e1ea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C708D-2F97-498F-A0DF-6D60F8F2634B}">
  <ds:schemaRefs>
    <ds:schemaRef ds:uri="http://schemas.microsoft.com/office/2006/metadata/properties"/>
    <ds:schemaRef ds:uri="http://schemas.microsoft.com/office/infopath/2007/PartnerControls"/>
    <ds:schemaRef ds:uri="http://schemas.microsoft.com/sharepoint/v3"/>
    <ds:schemaRef ds:uri="dc3c7381-c449-4344-b263-1f157f0d302b"/>
    <ds:schemaRef ds:uri="967a2f2e-bfff-4018-95c7-eda56e1ea06e"/>
  </ds:schemaRefs>
</ds:datastoreItem>
</file>

<file path=docProps/app.xml><?xml version="1.0" encoding="utf-8"?>
<Properties xmlns="http://schemas.openxmlformats.org/officeDocument/2006/extended-properties" xmlns:vt="http://schemas.openxmlformats.org/officeDocument/2006/docPropsVTypes">
  <Template>Opmaak_document (3).dotx</Template>
  <TotalTime>6</TotalTime>
  <Pages>1</Pages>
  <Words>797</Words>
  <Characters>4548</Characters>
  <Application>Microsoft Office Word</Application>
  <DocSecurity>4</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Lievyns</dc:creator>
  <cp:keywords/>
  <dc:description/>
  <cp:lastModifiedBy>Céline De Roeck</cp:lastModifiedBy>
  <cp:revision>17</cp:revision>
  <cp:lastPrinted>2021-04-08T05:41:00Z</cp:lastPrinted>
  <dcterms:created xsi:type="dcterms:W3CDTF">2023-11-11T02:51:00Z</dcterms:created>
  <dcterms:modified xsi:type="dcterms:W3CDTF">2025-10-14T09:33:00Z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0x010100753A376DC36D154DBE961BC86E21808C</vt:lpwstr>
  </property>
  <property fmtid="{D5CDD505-2E9C-101B-9397-08002B2CF9AE}" pid="3" name="MediaServiceImageTags">
    <vt:lpwstr/>
  </property>
</Properties>
</file>